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86" w:rsidRDefault="008318F5">
      <w:pPr>
        <w:spacing w:after="0"/>
        <w:jc w:val="right"/>
      </w:pPr>
      <w:bookmarkStart w:id="0" w:name="_GoBack"/>
      <w:bookmarkEnd w:id="0"/>
      <w:r>
        <w:rPr>
          <w:rFonts w:ascii="Lato Black"/>
          <w:b/>
        </w:rPr>
        <w:t>MSBA Core Manual</w:t>
      </w:r>
    </w:p>
    <w:p w:rsidR="00AA5E86" w:rsidRDefault="008318F5">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AA5E86">
        <w:tblPrEx>
          <w:tblCellMar>
            <w:bottom w:w="0" w:type="dxa"/>
          </w:tblCellMar>
        </w:tblPrEx>
        <w:tc>
          <w:tcPr>
            <w:tcW w:w="0" w:type="auto"/>
            <w:shd w:val="clear" w:color="auto" w:fill="EFEFEF"/>
          </w:tcPr>
          <w:p w:rsidR="00AA5E86" w:rsidRDefault="008318F5">
            <w:pPr>
              <w:spacing w:after="0"/>
            </w:pPr>
            <w:r>
              <w:rPr>
                <w:rFonts w:ascii="Lato Black"/>
                <w:b/>
              </w:rPr>
              <w:t>Policy IGCDA: FULL-TIME MOCAP VIRTUAL COURSES</w:t>
            </w:r>
          </w:p>
        </w:tc>
        <w:tc>
          <w:tcPr>
            <w:tcW w:w="1000" w:type="pct"/>
            <w:shd w:val="clear" w:color="auto" w:fill="EFEFEF"/>
          </w:tcPr>
          <w:p w:rsidR="00AA5E86" w:rsidRDefault="008318F5">
            <w:r>
              <w:rPr>
                <w:rFonts w:ascii="Lato Black"/>
                <w:b/>
              </w:rPr>
              <w:t xml:space="preserve">Status: </w:t>
            </w:r>
            <w:r>
              <w:rPr>
                <w:rFonts w:ascii="Lato"/>
              </w:rPr>
              <w:t>ADOPTED</w:t>
            </w:r>
          </w:p>
        </w:tc>
      </w:tr>
      <w:tr w:rsidR="00AA5E86">
        <w:tblPrEx>
          <w:tblCellMar>
            <w:bottom w:w="0" w:type="dxa"/>
          </w:tblCellMar>
        </w:tblPrEx>
        <w:tc>
          <w:tcPr>
            <w:tcW w:w="0" w:type="auto"/>
            <w:shd w:val="clear" w:color="auto" w:fill="EFEFEF"/>
          </w:tcPr>
          <w:p w:rsidR="00AA5E86" w:rsidRDefault="008318F5">
            <w:r>
              <w:rPr>
                <w:rFonts w:ascii="Lato Black"/>
                <w:b/>
                <w:sz w:val="18"/>
              </w:rPr>
              <w:t xml:space="preserve">Original Adopted Date: </w:t>
            </w:r>
            <w:r>
              <w:rPr>
                <w:rFonts w:ascii="Lato"/>
                <w:sz w:val="18"/>
              </w:rPr>
              <w:t>03/15/2022</w:t>
            </w:r>
            <w:r>
              <w:rPr>
                <w:rFonts w:ascii="Lato Black"/>
                <w:b/>
                <w:sz w:val="18"/>
              </w:rPr>
              <w:t xml:space="preserve"> | Last Revised Date: </w:t>
            </w:r>
            <w:r>
              <w:rPr>
                <w:rFonts w:ascii="Lato"/>
                <w:sz w:val="18"/>
              </w:rPr>
              <w:t>01/01/2023</w:t>
            </w:r>
            <w:r>
              <w:rPr>
                <w:rFonts w:ascii="Lato Black"/>
                <w:b/>
                <w:sz w:val="18"/>
              </w:rPr>
              <w:t xml:space="preserve"> | Last Reviewed Date: </w:t>
            </w:r>
            <w:r>
              <w:rPr>
                <w:rFonts w:ascii="Lato"/>
                <w:sz w:val="18"/>
              </w:rPr>
              <w:t>01/01/2023</w:t>
            </w:r>
          </w:p>
        </w:tc>
        <w:tc>
          <w:tcPr>
            <w:tcW w:w="0" w:type="auto"/>
            <w:shd w:val="clear" w:color="auto" w:fill="EFEFEF"/>
          </w:tcPr>
          <w:p w:rsidR="00AA5E86" w:rsidRDefault="00AA5E86">
            <w:pPr>
              <w:spacing w:after="0"/>
            </w:pPr>
          </w:p>
        </w:tc>
      </w:tr>
    </w:tbl>
    <w:p w:rsidR="00AA5E86" w:rsidRDefault="00AA5E86">
      <w:pPr>
        <w:spacing w:after="30"/>
        <w:jc w:val="right"/>
      </w:pPr>
    </w:p>
    <w:p w:rsidR="00000000" w:rsidRDefault="008318F5">
      <w:pPr>
        <w:divId w:val="67388595"/>
        <w:rPr>
          <w:rFonts w:ascii="Lato" w:eastAsia="Times New Roman" w:hAnsi="Lato"/>
        </w:rPr>
      </w:pPr>
      <w:r>
        <w:rPr>
          <w:rFonts w:ascii="Lato" w:eastAsia="Times New Roman" w:hAnsi="Lato"/>
        </w:rPr>
        <w:t>This policy applies to students seeking to enroll full-time in the Missouri Course Access and Virtual School Program (MOCAP) with a course provider that is a public school district, charter school or higher education institution (a “hosted MOCAP provider”)</w:t>
      </w:r>
      <w:r>
        <w:rPr>
          <w:rFonts w:ascii="Lato" w:eastAsia="Times New Roman" w:hAnsi="Lato"/>
        </w:rPr>
        <w:t xml:space="preserve">. See policy IGCD for part-time enrollment with a hosted MOCAP provider, full- or part-time enrollment with other MOCAP providers or enrollment in other virtual course options provided through the District. </w:t>
      </w:r>
    </w:p>
    <w:p w:rsidR="00000000" w:rsidRDefault="008318F5">
      <w:pPr>
        <w:pStyle w:val="Heading3"/>
        <w:divId w:val="67388595"/>
        <w:rPr>
          <w:rFonts w:ascii="Lato" w:eastAsia="Times New Roman" w:hAnsi="Lato"/>
        </w:rPr>
      </w:pPr>
      <w:r>
        <w:rPr>
          <w:rFonts w:ascii="Lato" w:eastAsia="Times New Roman" w:hAnsi="Lato"/>
        </w:rPr>
        <w:t>Definitions</w:t>
      </w:r>
    </w:p>
    <w:p w:rsidR="00000000" w:rsidRDefault="008318F5">
      <w:pPr>
        <w:divId w:val="67388595"/>
        <w:rPr>
          <w:rFonts w:ascii="Lato" w:eastAsia="Times New Roman" w:hAnsi="Lato"/>
        </w:rPr>
      </w:pPr>
      <w:r>
        <w:rPr>
          <w:rFonts w:ascii="Lato" w:eastAsia="Times New Roman" w:hAnsi="Lato"/>
        </w:rPr>
        <w:br/>
      </w:r>
      <w:proofErr w:type="gramStart"/>
      <w:r>
        <w:rPr>
          <w:rStyle w:val="Emphasis"/>
          <w:rFonts w:ascii="Lato" w:eastAsia="Times New Roman" w:hAnsi="Lato"/>
        </w:rPr>
        <w:t>District </w:t>
      </w:r>
      <w:r>
        <w:rPr>
          <w:rFonts w:ascii="Lato" w:eastAsia="Times New Roman" w:hAnsi="Lato"/>
        </w:rPr>
        <w:t xml:space="preserve">– The </w:t>
      </w:r>
      <w:proofErr w:type="spellStart"/>
      <w:r>
        <w:rPr>
          <w:rFonts w:ascii="Lato" w:eastAsia="Times New Roman" w:hAnsi="Lato"/>
        </w:rPr>
        <w:t>DistrictCommonName</w:t>
      </w:r>
      <w:proofErr w:type="spellEnd"/>
      <w:r>
        <w:rPr>
          <w:rFonts w:ascii="Lato" w:eastAsia="Times New Roman" w:hAnsi="Lato"/>
        </w:rPr>
        <w:t>.</w:t>
      </w:r>
      <w:proofErr w:type="gramEnd"/>
      <w:r>
        <w:rPr>
          <w:rFonts w:ascii="Lato" w:eastAsia="Times New Roman" w:hAnsi="Lato"/>
        </w:rPr>
        <w:br/>
      </w:r>
      <w:r>
        <w:rPr>
          <w:rFonts w:ascii="Lato" w:eastAsia="Times New Roman" w:hAnsi="Lato"/>
        </w:rPr>
        <w:br/>
      </w:r>
      <w:proofErr w:type="gramStart"/>
      <w:r>
        <w:rPr>
          <w:rStyle w:val="Emphasis"/>
          <w:rFonts w:ascii="Lato" w:eastAsia="Times New Roman" w:hAnsi="Lato"/>
        </w:rPr>
        <w:t>Education Services Plan and Collaborative Agreement (ESP)</w:t>
      </w:r>
      <w:r>
        <w:rPr>
          <w:rFonts w:ascii="Lato" w:eastAsia="Times New Roman" w:hAnsi="Lato"/>
        </w:rPr>
        <w:t> – A plan for providing educational services to virtual students.</w:t>
      </w:r>
      <w:proofErr w:type="gramEnd"/>
      <w:r>
        <w:rPr>
          <w:rFonts w:ascii="Lato" w:eastAsia="Times New Roman" w:hAnsi="Lato"/>
        </w:rPr>
        <w:t xml:space="preserve"> The plan may require the resident school district to provide the student with support services or access to school facilities.</w:t>
      </w:r>
      <w:r>
        <w:rPr>
          <w:rFonts w:ascii="Lato" w:eastAsia="Times New Roman" w:hAnsi="Lato"/>
        </w:rPr>
        <w:br/>
      </w:r>
      <w:r>
        <w:rPr>
          <w:rFonts w:ascii="Lato" w:eastAsia="Times New Roman" w:hAnsi="Lato"/>
        </w:rPr>
        <w:br/>
      </w:r>
      <w:proofErr w:type="gramStart"/>
      <w:r>
        <w:rPr>
          <w:rStyle w:val="Emphasis"/>
          <w:rFonts w:ascii="Lato" w:eastAsia="Times New Roman" w:hAnsi="Lato"/>
        </w:rPr>
        <w:t>Full</w:t>
      </w:r>
      <w:r>
        <w:rPr>
          <w:rStyle w:val="Emphasis"/>
          <w:rFonts w:ascii="Lato" w:eastAsia="Times New Roman" w:hAnsi="Lato"/>
        </w:rPr>
        <w:t>-Time MOCAP Student</w:t>
      </w:r>
      <w:r>
        <w:rPr>
          <w:rFonts w:ascii="Lato" w:eastAsia="Times New Roman" w:hAnsi="Lato"/>
        </w:rPr>
        <w:t xml:space="preserve"> – A student who is enrolled in a MOCAP program for the instructional equivalent of six credits per regular term.</w:t>
      </w:r>
      <w:proofErr w:type="gramEnd"/>
      <w:r>
        <w:rPr>
          <w:rFonts w:ascii="Lato" w:eastAsia="Times New Roman" w:hAnsi="Lato"/>
        </w:rPr>
        <w:br/>
      </w:r>
      <w:r>
        <w:rPr>
          <w:rFonts w:ascii="Lato" w:eastAsia="Times New Roman" w:hAnsi="Lato"/>
        </w:rPr>
        <w:br/>
      </w:r>
      <w:proofErr w:type="gramStart"/>
      <w:r>
        <w:rPr>
          <w:rStyle w:val="Emphasis"/>
          <w:rFonts w:ascii="Lato" w:eastAsia="Times New Roman" w:hAnsi="Lato"/>
        </w:rPr>
        <w:t>Hosted MOCAP Provider</w:t>
      </w:r>
      <w:r>
        <w:rPr>
          <w:rFonts w:ascii="Lato" w:eastAsia="Times New Roman" w:hAnsi="Lato"/>
        </w:rPr>
        <w:t xml:space="preserve"> – A public school district, charter school or higher education institution that is registered throug</w:t>
      </w:r>
      <w:r>
        <w:rPr>
          <w:rFonts w:ascii="Lato" w:eastAsia="Times New Roman" w:hAnsi="Lato"/>
        </w:rPr>
        <w:t>h the Department of Elementary and Secondary Education (DESE) to provide virtual education through the MOCAP program to Missouri students.</w:t>
      </w:r>
      <w:proofErr w:type="gramEnd"/>
      <w:r>
        <w:rPr>
          <w:rFonts w:ascii="Lato" w:eastAsia="Times New Roman" w:hAnsi="Lato"/>
        </w:rPr>
        <w:t xml:space="preserve"> A host district may provide the courses directly or contract with a course provider to provide the courses.</w:t>
      </w:r>
      <w:r>
        <w:rPr>
          <w:rFonts w:ascii="Lato" w:eastAsia="Times New Roman" w:hAnsi="Lato"/>
        </w:rPr>
        <w:br/>
      </w:r>
      <w:r>
        <w:rPr>
          <w:rFonts w:ascii="Lato" w:eastAsia="Times New Roman" w:hAnsi="Lato"/>
        </w:rPr>
        <w:br/>
      </w:r>
      <w:r>
        <w:rPr>
          <w:rStyle w:val="Emphasis"/>
          <w:rFonts w:ascii="Lato" w:eastAsia="Times New Roman" w:hAnsi="Lato"/>
        </w:rPr>
        <w:t>Missouri</w:t>
      </w:r>
      <w:r>
        <w:rPr>
          <w:rStyle w:val="Emphasis"/>
          <w:rFonts w:ascii="Lato" w:eastAsia="Times New Roman" w:hAnsi="Lato"/>
        </w:rPr>
        <w:t xml:space="preserve"> Course Access and Virtual School Program (MOCAP) Course</w:t>
      </w:r>
      <w:r>
        <w:rPr>
          <w:rFonts w:ascii="Lato" w:eastAsia="Times New Roman" w:hAnsi="Lato"/>
        </w:rPr>
        <w:t xml:space="preserve"> – A virtual course that is offered by a course provider listed by DESE as part of the virtual course program under § 161.670, </w:t>
      </w:r>
      <w:proofErr w:type="spellStart"/>
      <w:r>
        <w:rPr>
          <w:rFonts w:ascii="Lato" w:eastAsia="Times New Roman" w:hAnsi="Lato"/>
        </w:rPr>
        <w:t>RSMo</w:t>
      </w:r>
      <w:proofErr w:type="spellEnd"/>
      <w:r>
        <w:rPr>
          <w:rFonts w:ascii="Lato" w:eastAsia="Times New Roman" w:hAnsi="Lato"/>
        </w:rPr>
        <w:t xml:space="preserve">.  </w:t>
      </w:r>
    </w:p>
    <w:p w:rsidR="00000000" w:rsidRDefault="008318F5">
      <w:pPr>
        <w:pStyle w:val="Heading3"/>
        <w:divId w:val="67388595"/>
        <w:rPr>
          <w:rFonts w:ascii="Lato" w:eastAsia="Times New Roman" w:hAnsi="Lato"/>
        </w:rPr>
      </w:pPr>
      <w:r>
        <w:rPr>
          <w:rFonts w:ascii="Lato" w:eastAsia="Times New Roman" w:hAnsi="Lato"/>
        </w:rPr>
        <w:t>Hosted MOCAP Providers</w:t>
      </w:r>
    </w:p>
    <w:p w:rsidR="00000000" w:rsidRDefault="008318F5">
      <w:pPr>
        <w:divId w:val="67388595"/>
        <w:rPr>
          <w:rFonts w:ascii="Lato" w:eastAsia="Times New Roman" w:hAnsi="Lato"/>
        </w:rPr>
      </w:pPr>
      <w:r>
        <w:rPr>
          <w:rFonts w:ascii="Lato" w:eastAsia="Times New Roman" w:hAnsi="Lato"/>
        </w:rPr>
        <w:br/>
        <w:t>Resident students who seek to enroll with</w:t>
      </w:r>
      <w:r>
        <w:rPr>
          <w:rFonts w:ascii="Lato" w:eastAsia="Times New Roman" w:hAnsi="Lato"/>
        </w:rPr>
        <w:t xml:space="preserve"> a hosted MOCAP provider on a full-time basis without paying tuition must first enroll with the District. Students who are accepted by the hosted MOCAP provider will have their enrollment transferred to the host district, and the student will be considered</w:t>
      </w:r>
      <w:r>
        <w:rPr>
          <w:rFonts w:ascii="Lato" w:eastAsia="Times New Roman" w:hAnsi="Lato"/>
        </w:rPr>
        <w:t xml:space="preserve"> a student of the host district for all purposes.</w:t>
      </w:r>
      <w:r>
        <w:rPr>
          <w:rFonts w:ascii="Lato" w:eastAsia="Times New Roman" w:hAnsi="Lato"/>
        </w:rPr>
        <w:br/>
      </w:r>
      <w:r>
        <w:rPr>
          <w:rFonts w:ascii="Lato" w:eastAsia="Times New Roman" w:hAnsi="Lato"/>
        </w:rPr>
        <w:br/>
        <w:t xml:space="preserve">The District will collaborate in good faith with the virtual program and the host district to determine whether it is in the best educational interest of the student to enroll full-time in a MOCAP program </w:t>
      </w:r>
      <w:r>
        <w:rPr>
          <w:rFonts w:ascii="Lato" w:eastAsia="Times New Roman" w:hAnsi="Lato"/>
        </w:rPr>
        <w:t>and will cooperate to create an education services plan and collaborative agreement for a resident student. The superintendent or designee will provide relevant information and input on the student’s enrollment. The collaborative team will consider all rel</w:t>
      </w:r>
      <w:r>
        <w:rPr>
          <w:rFonts w:ascii="Lato" w:eastAsia="Times New Roman" w:hAnsi="Lato"/>
        </w:rPr>
        <w:t>evant factors, including available opportunities for in-person instruction.</w:t>
      </w:r>
      <w:r>
        <w:rPr>
          <w:rFonts w:ascii="Lato" w:eastAsia="Times New Roman" w:hAnsi="Lato"/>
        </w:rPr>
        <w:br/>
      </w:r>
      <w:r>
        <w:rPr>
          <w:rFonts w:ascii="Lato" w:eastAsia="Times New Roman" w:hAnsi="Lato"/>
        </w:rPr>
        <w:br/>
        <w:t xml:space="preserve">Students who are denied enrollment may utilize the state process for reviewing the decision. </w:t>
      </w:r>
    </w:p>
    <w:p w:rsidR="00000000" w:rsidRDefault="008318F5">
      <w:pPr>
        <w:pStyle w:val="Heading3"/>
        <w:divId w:val="67388595"/>
        <w:rPr>
          <w:rFonts w:ascii="Lato" w:eastAsia="Times New Roman" w:hAnsi="Lato"/>
        </w:rPr>
      </w:pPr>
      <w:r>
        <w:rPr>
          <w:rFonts w:ascii="Lato" w:eastAsia="Times New Roman" w:hAnsi="Lato"/>
        </w:rPr>
        <w:lastRenderedPageBreak/>
        <w:t>Students with Disabilities</w:t>
      </w:r>
    </w:p>
    <w:p w:rsidR="00000000" w:rsidRDefault="008318F5">
      <w:pPr>
        <w:divId w:val="67388595"/>
        <w:rPr>
          <w:rFonts w:ascii="Lato" w:eastAsia="Times New Roman" w:hAnsi="Lato"/>
        </w:rPr>
      </w:pPr>
      <w:r>
        <w:rPr>
          <w:rFonts w:ascii="Lato" w:eastAsia="Times New Roman" w:hAnsi="Lato"/>
        </w:rPr>
        <w:br/>
        <w:t>A student's individualized education program (IEP) or Sec</w:t>
      </w:r>
      <w:r>
        <w:rPr>
          <w:rFonts w:ascii="Lato" w:eastAsia="Times New Roman" w:hAnsi="Lato"/>
        </w:rPr>
        <w:t>tion 504 team will make the initial decision on whether the student with an IEP or Section 504 plan is approved to enroll full-time in virtual courses, including MOCAP courses. Any appeal of a decision made by an IEP or Section 504 team must follow the pro</w:t>
      </w:r>
      <w:r>
        <w:rPr>
          <w:rFonts w:ascii="Lato" w:eastAsia="Times New Roman" w:hAnsi="Lato"/>
        </w:rPr>
        <w:t xml:space="preserve">cess provided under federal law. </w:t>
      </w:r>
    </w:p>
    <w:p w:rsidR="00000000" w:rsidRDefault="008318F5">
      <w:pPr>
        <w:pStyle w:val="Heading3"/>
        <w:divId w:val="67388595"/>
        <w:rPr>
          <w:rFonts w:ascii="Lato" w:eastAsia="Times New Roman" w:hAnsi="Lato"/>
        </w:rPr>
      </w:pPr>
      <w:r>
        <w:rPr>
          <w:rFonts w:ascii="Lato" w:eastAsia="Times New Roman" w:hAnsi="Lato"/>
        </w:rPr>
        <w:t>Education Services Plan and Collaborative Agreement</w:t>
      </w:r>
    </w:p>
    <w:p w:rsidR="00000000" w:rsidRDefault="008318F5">
      <w:pPr>
        <w:divId w:val="67388595"/>
        <w:rPr>
          <w:rFonts w:ascii="Lato" w:eastAsia="Times New Roman" w:hAnsi="Lato"/>
        </w:rPr>
      </w:pPr>
      <w:r>
        <w:rPr>
          <w:rFonts w:ascii="Lato" w:eastAsia="Times New Roman" w:hAnsi="Lato"/>
        </w:rPr>
        <w:br/>
        <w:t>Once enrollment is approved, the District will work with the host district and MOCAP course provider to create an education services plan and collaborative agreement for</w:t>
      </w:r>
      <w:r>
        <w:rPr>
          <w:rFonts w:ascii="Lato" w:eastAsia="Times New Roman" w:hAnsi="Lato"/>
        </w:rPr>
        <w:t xml:space="preserve"> support of the student. For special education students, the student’s IEP governs the plan. If the plan requires the District to provide the student with services or access to District facilities, the District will seek reimbursement by the host district </w:t>
      </w:r>
      <w:r>
        <w:rPr>
          <w:rFonts w:ascii="Lato" w:eastAsia="Times New Roman" w:hAnsi="Lato"/>
        </w:rPr>
        <w:t xml:space="preserve">as allowed by law. </w:t>
      </w:r>
    </w:p>
    <w:p w:rsidR="00000000" w:rsidRDefault="008318F5">
      <w:pPr>
        <w:pStyle w:val="Heading3"/>
        <w:divId w:val="67388595"/>
        <w:rPr>
          <w:rFonts w:ascii="Lato" w:eastAsia="Times New Roman" w:hAnsi="Lato"/>
        </w:rPr>
      </w:pPr>
      <w:r>
        <w:rPr>
          <w:rFonts w:ascii="Lato" w:eastAsia="Times New Roman" w:hAnsi="Lato"/>
        </w:rPr>
        <w:t>Eligibility for Extracurricular Activities</w:t>
      </w:r>
    </w:p>
    <w:p w:rsidR="00000000" w:rsidRDefault="008318F5">
      <w:pPr>
        <w:divId w:val="67388595"/>
        <w:rPr>
          <w:rFonts w:ascii="Lato" w:eastAsia="Times New Roman" w:hAnsi="Lato"/>
        </w:rPr>
      </w:pPr>
      <w:r>
        <w:rPr>
          <w:rFonts w:ascii="Lato" w:eastAsia="Times New Roman" w:hAnsi="Lato"/>
        </w:rPr>
        <w:br/>
        <w:t>Resident students enrolled full-time with a hosted MOCAP provider are considered students of the host district. The District will allow these students to participate in District extracurricula</w:t>
      </w:r>
      <w:r>
        <w:rPr>
          <w:rFonts w:ascii="Lato" w:eastAsia="Times New Roman" w:hAnsi="Lato"/>
        </w:rPr>
        <w:t xml:space="preserve">r activities if the District allows other unenrolled students, such as homeschooled or private school students, to participate in the activity. Otherwise, participation will be allowed only as required by law. </w:t>
      </w:r>
    </w:p>
    <w:p w:rsidR="00000000" w:rsidRDefault="008318F5">
      <w:pPr>
        <w:pStyle w:val="Heading3"/>
        <w:divId w:val="67388595"/>
        <w:rPr>
          <w:rFonts w:ascii="Lato" w:eastAsia="Times New Roman" w:hAnsi="Lato"/>
        </w:rPr>
      </w:pPr>
      <w:r>
        <w:rPr>
          <w:rFonts w:ascii="Lato" w:eastAsia="Times New Roman" w:hAnsi="Lato"/>
        </w:rPr>
        <w:t>Notice</w:t>
      </w:r>
    </w:p>
    <w:p w:rsidR="00000000" w:rsidRDefault="008318F5">
      <w:pPr>
        <w:divId w:val="67388595"/>
        <w:rPr>
          <w:rFonts w:ascii="Lato" w:eastAsia="Times New Roman" w:hAnsi="Lato"/>
        </w:rPr>
      </w:pPr>
      <w:r>
        <w:rPr>
          <w:rFonts w:ascii="Lato" w:eastAsia="Times New Roman" w:hAnsi="Lato"/>
        </w:rPr>
        <w:br/>
        <w:t>The District will inform students and</w:t>
      </w:r>
      <w:r>
        <w:rPr>
          <w:rFonts w:ascii="Lato" w:eastAsia="Times New Roman" w:hAnsi="Lato"/>
        </w:rPr>
        <w:t xml:space="preserve"> parents/guardians of the availability of the MOCAP program in parent/guardian handbooks and registration documents and feature the program on the homepage of the District's website, as required by law. The District will provide every student enrolled in t</w:t>
      </w:r>
      <w:r>
        <w:rPr>
          <w:rFonts w:ascii="Lato" w:eastAsia="Times New Roman" w:hAnsi="Lato"/>
        </w:rPr>
        <w:t>he District and parents/guardians with a copy of DESE’s MOCAP guidance document at the beginning of the school year or upon enrollment. In addition, the District will provide a readily viewable link to the guidance document on the main page of its website.</w:t>
      </w:r>
      <w:r>
        <w:rPr>
          <w:rFonts w:ascii="Lato" w:eastAsia="Times New Roman" w:hAnsi="Lato"/>
        </w:rPr>
        <w:t xml:space="preserve"> </w:t>
      </w:r>
    </w:p>
    <w:p w:rsidR="00000000" w:rsidRDefault="008318F5">
      <w:pPr>
        <w:pStyle w:val="Heading3"/>
        <w:divId w:val="67388595"/>
        <w:rPr>
          <w:rFonts w:ascii="Lato" w:eastAsia="Times New Roman" w:hAnsi="Lato"/>
        </w:rPr>
      </w:pPr>
      <w:r>
        <w:rPr>
          <w:rFonts w:ascii="Lato" w:eastAsia="Times New Roman" w:hAnsi="Lato"/>
        </w:rPr>
        <w:t>Re-Enrollment</w:t>
      </w:r>
    </w:p>
    <w:p w:rsidR="00000000" w:rsidRDefault="008318F5">
      <w:pPr>
        <w:divId w:val="67388595"/>
        <w:rPr>
          <w:rFonts w:ascii="Lato" w:eastAsia="Times New Roman" w:hAnsi="Lato"/>
        </w:rPr>
      </w:pPr>
      <w:r>
        <w:rPr>
          <w:rFonts w:ascii="Lato" w:eastAsia="Times New Roman" w:hAnsi="Lato"/>
        </w:rPr>
        <w:br/>
        <w:t xml:space="preserve">If the District is notified that a resident, full-time MOCAP student has been </w:t>
      </w:r>
      <w:proofErr w:type="spellStart"/>
      <w:r>
        <w:rPr>
          <w:rFonts w:ascii="Lato" w:eastAsia="Times New Roman" w:hAnsi="Lato"/>
        </w:rPr>
        <w:t>disenrolled</w:t>
      </w:r>
      <w:proofErr w:type="spellEnd"/>
      <w:r>
        <w:rPr>
          <w:rFonts w:ascii="Lato" w:eastAsia="Times New Roman" w:hAnsi="Lato"/>
        </w:rPr>
        <w:t xml:space="preserve"> by a MOCAP provider, the District will provide a written list of available educational options in the District to the parents/guardians of the studen</w:t>
      </w:r>
      <w:r>
        <w:rPr>
          <w:rFonts w:ascii="Lato" w:eastAsia="Times New Roman" w:hAnsi="Lato"/>
        </w:rPr>
        <w:t xml:space="preserve">t and will promptly re-enroll the student when notified by the </w:t>
      </w:r>
      <w:proofErr w:type="gramStart"/>
      <w:r>
        <w:rPr>
          <w:rFonts w:ascii="Lato" w:eastAsia="Times New Roman" w:hAnsi="Lato"/>
        </w:rPr>
        <w:t>parent/guardian</w:t>
      </w:r>
      <w:proofErr w:type="gramEnd"/>
      <w:r>
        <w:rPr>
          <w:rFonts w:ascii="Lato" w:eastAsia="Times New Roman" w:hAnsi="Lato"/>
        </w:rPr>
        <w:t>.</w:t>
      </w:r>
      <w:r>
        <w:rPr>
          <w:rFonts w:ascii="Lato" w:eastAsia="Times New Roman" w:hAnsi="Lato"/>
        </w:rPr>
        <w:br/>
        <w:t xml:space="preserve">  </w:t>
      </w:r>
    </w:p>
    <w:p w:rsidR="00AA5E86" w:rsidRDefault="008318F5">
      <w:pPr>
        <w:spacing w:after="0"/>
      </w:pPr>
      <w:proofErr w:type="gramStart"/>
      <w:r>
        <w:rPr>
          <w:rFonts w:ascii="Lato"/>
        </w:rPr>
        <w:t>©</w:t>
      </w:r>
      <w:r>
        <w:rPr>
          <w:rFonts w:ascii="Lato"/>
        </w:rPr>
        <w:t xml:space="preserve"> 2023, Missouri School Boards' </w:t>
      </w:r>
      <w:r>
        <w:rPr>
          <w:rFonts w:ascii="Lato"/>
        </w:rPr>
        <w:t>Association.</w:t>
      </w:r>
      <w:proofErr w:type="gramEnd"/>
    </w:p>
    <w:p w:rsidR="00AA5E86" w:rsidRDefault="008318F5">
      <w:pPr>
        <w:spacing w:after="0"/>
      </w:pPr>
      <w:r>
        <w:rPr>
          <w:rFonts w:ascii="Lato"/>
        </w:rPr>
        <w:t>Version: [IGCDA-C.1B (1/23)]</w:t>
      </w:r>
    </w:p>
    <w:p w:rsidR="00AA5E86" w:rsidRDefault="00AA5E86">
      <w:pPr>
        <w:pBdr>
          <w:bottom w:val="single" w:sz="5" w:space="1" w:color="auto"/>
        </w:pBdr>
      </w:pPr>
    </w:p>
    <w:p w:rsidR="00000000" w:rsidRDefault="008318F5">
      <w:pPr>
        <w:divId w:val="749232618"/>
        <w:rPr>
          <w:rFonts w:ascii="Lato" w:eastAsia="Times New Roman" w:hAnsi="Lato"/>
        </w:rPr>
      </w:pPr>
      <w:r>
        <w:rPr>
          <w:rFonts w:ascii="Lato" w:eastAsia="Times New Roman" w:hAnsi="Lato"/>
        </w:rPr>
        <w:t> </w:t>
      </w:r>
    </w:p>
    <w:p w:rsidR="00000000" w:rsidRDefault="008318F5">
      <w:pPr>
        <w:pStyle w:val="Heading2"/>
        <w:shd w:val="clear" w:color="auto" w:fill="FFFFFF"/>
        <w:spacing w:before="0" w:beforeAutospacing="0" w:after="0" w:afterAutospacing="0"/>
        <w:textAlignment w:val="baseline"/>
        <w:divId w:val="710307138"/>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8318F5">
      <w:pPr>
        <w:divId w:val="710307138"/>
        <w:rPr>
          <w:rFonts w:ascii="Lato" w:eastAsia="Times New Roman" w:hAnsi="Lato"/>
        </w:rPr>
      </w:pPr>
      <w:r>
        <w:rPr>
          <w:rFonts w:ascii="Lato" w:eastAsia="Times New Roman" w:hAnsi="Lato"/>
          <w:color w:val="000000"/>
          <w:sz w:val="20"/>
          <w:szCs w:val="20"/>
          <w:shd w:val="clear" w:color="auto" w:fill="FFFFFF"/>
        </w:rPr>
        <w:lastRenderedPageBreak/>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AA5E86">
        <w:tblPrEx>
          <w:tblCellMar>
            <w:top w:w="0" w:type="dxa"/>
            <w:bottom w:w="0" w:type="dxa"/>
          </w:tblCellMar>
        </w:tblPrEx>
        <w:tc>
          <w:tcPr>
            <w:tcW w:w="4017" w:type="dxa"/>
          </w:tcPr>
          <w:p w:rsidR="00AA5E86" w:rsidRDefault="008318F5">
            <w:pPr>
              <w:spacing w:after="0"/>
            </w:pPr>
            <w:r>
              <w:rPr>
                <w:rFonts w:ascii="Lato Black"/>
                <w:b/>
              </w:rPr>
              <w:t>State</w:t>
            </w:r>
          </w:p>
        </w:tc>
        <w:tc>
          <w:tcPr>
            <w:tcW w:w="5961" w:type="dxa"/>
          </w:tcPr>
          <w:p w:rsidR="00AA5E86" w:rsidRDefault="008318F5">
            <w:pPr>
              <w:spacing w:after="0"/>
            </w:pPr>
            <w:r>
              <w:rPr>
                <w:rFonts w:ascii="Lato Black"/>
                <w:b/>
              </w:rPr>
              <w:t>Description</w:t>
            </w:r>
          </w:p>
        </w:tc>
      </w:tr>
      <w:tr w:rsidR="00AA5E86">
        <w:tblPrEx>
          <w:tblCellMar>
            <w:top w:w="0" w:type="dxa"/>
            <w:bottom w:w="0" w:type="dxa"/>
          </w:tblCellMar>
        </w:tblPrEx>
        <w:tc>
          <w:tcPr>
            <w:tcW w:w="4017" w:type="dxa"/>
          </w:tcPr>
          <w:p w:rsidR="00AA5E86" w:rsidRDefault="008318F5">
            <w:pPr>
              <w:spacing w:after="0"/>
            </w:pPr>
            <w:r>
              <w:rPr>
                <w:rFonts w:ascii="Lato"/>
              </w:rPr>
              <w:t>§</w:t>
            </w:r>
            <w:r>
              <w:rPr>
                <w:rFonts w:ascii="Lato"/>
              </w:rPr>
              <w:t xml:space="preserve">161.670, </w:t>
            </w:r>
            <w:proofErr w:type="spellStart"/>
            <w:r>
              <w:rPr>
                <w:rFonts w:ascii="Lato"/>
              </w:rPr>
              <w:t>RSMo</w:t>
            </w:r>
            <w:proofErr w:type="spellEnd"/>
            <w:r>
              <w:rPr>
                <w:rFonts w:ascii="Lato"/>
              </w:rPr>
              <w:t>.</w:t>
            </w:r>
          </w:p>
        </w:tc>
        <w:tc>
          <w:tcPr>
            <w:tcW w:w="5961" w:type="dxa"/>
          </w:tcPr>
          <w:p w:rsidR="00AA5E86" w:rsidRDefault="008318F5">
            <w:hyperlink r:id="rId5" w:docLocation="https://revisor.mo.gov/main/Home.aspx">
              <w:r>
                <w:rPr>
                  <w:rFonts w:ascii="Lato"/>
                  <w:color w:val="0000FF" w:themeColor="hyperlink"/>
                  <w:u w:val="single"/>
                </w:rPr>
                <w:t>State Statute</w:t>
              </w:r>
            </w:hyperlink>
          </w:p>
        </w:tc>
      </w:tr>
      <w:tr w:rsidR="00AA5E86">
        <w:tblPrEx>
          <w:tblCellMar>
            <w:top w:w="0" w:type="dxa"/>
            <w:bottom w:w="0" w:type="dxa"/>
          </w:tblCellMar>
        </w:tblPrEx>
        <w:tc>
          <w:tcPr>
            <w:tcW w:w="4017" w:type="dxa"/>
          </w:tcPr>
          <w:p w:rsidR="00AA5E86" w:rsidRDefault="008318F5">
            <w:pPr>
              <w:spacing w:after="0"/>
            </w:pPr>
            <w:r>
              <w:rPr>
                <w:rFonts w:ascii="Lato"/>
              </w:rPr>
              <w:t>§</w:t>
            </w:r>
            <w:r>
              <w:rPr>
                <w:rFonts w:ascii="Lato"/>
              </w:rPr>
              <w:t xml:space="preserve">610.021, </w:t>
            </w:r>
            <w:proofErr w:type="spellStart"/>
            <w:r>
              <w:rPr>
                <w:rFonts w:ascii="Lato"/>
              </w:rPr>
              <w:t>RSMo</w:t>
            </w:r>
            <w:proofErr w:type="spellEnd"/>
            <w:r>
              <w:rPr>
                <w:rFonts w:ascii="Lato"/>
              </w:rPr>
              <w:t>.</w:t>
            </w:r>
          </w:p>
        </w:tc>
        <w:tc>
          <w:tcPr>
            <w:tcW w:w="5961" w:type="dxa"/>
          </w:tcPr>
          <w:p w:rsidR="00AA5E86" w:rsidRDefault="008318F5">
            <w:hyperlink r:id="rId6" w:docLocation="https://revisor.mo.gov/main/Home.aspx">
              <w:r>
                <w:rPr>
                  <w:rFonts w:ascii="Lato"/>
                  <w:color w:val="0000FF" w:themeColor="hyperlink"/>
                  <w:u w:val="single"/>
                </w:rPr>
                <w:t>State Statute</w:t>
              </w:r>
            </w:hyperlink>
          </w:p>
        </w:tc>
      </w:tr>
      <w:tr w:rsidR="00AA5E86">
        <w:tblPrEx>
          <w:tblCellMar>
            <w:top w:w="0" w:type="dxa"/>
            <w:bottom w:w="0" w:type="dxa"/>
          </w:tblCellMar>
        </w:tblPrEx>
        <w:tc>
          <w:tcPr>
            <w:tcW w:w="4017" w:type="dxa"/>
          </w:tcPr>
          <w:p w:rsidR="00AA5E86" w:rsidRDefault="008318F5">
            <w:pPr>
              <w:spacing w:after="0"/>
            </w:pPr>
            <w:r>
              <w:rPr>
                <w:rFonts w:ascii="Lato"/>
              </w:rPr>
              <w:t>5 C.S.R.20-100.230</w:t>
            </w:r>
          </w:p>
        </w:tc>
        <w:tc>
          <w:tcPr>
            <w:tcW w:w="5961" w:type="dxa"/>
          </w:tcPr>
          <w:p w:rsidR="00AA5E86" w:rsidRDefault="008318F5">
            <w:hyperlink r:id="rId7" w:docLocation="http://www.sos.mo.gov/adrules/csr/csr.asp">
              <w:r>
                <w:rPr>
                  <w:rFonts w:ascii="Lato"/>
                  <w:color w:val="0000FF" w:themeColor="hyperlink"/>
                  <w:u w:val="single"/>
                </w:rPr>
                <w:t>State Regulation</w:t>
              </w:r>
            </w:hyperlink>
          </w:p>
        </w:tc>
      </w:tr>
      <w:tr w:rsidR="00AA5E86">
        <w:tblPrEx>
          <w:tblCellMar>
            <w:top w:w="0" w:type="dxa"/>
            <w:bottom w:w="0" w:type="dxa"/>
          </w:tblCellMar>
        </w:tblPrEx>
        <w:tc>
          <w:tcPr>
            <w:tcW w:w="4017" w:type="dxa"/>
          </w:tcPr>
          <w:p w:rsidR="00AA5E86" w:rsidRDefault="008318F5">
            <w:pPr>
              <w:spacing w:after="0"/>
            </w:pPr>
            <w:r>
              <w:rPr>
                <w:rFonts w:ascii="Lato Black"/>
                <w:b/>
              </w:rPr>
              <w:t>Federal</w:t>
            </w:r>
          </w:p>
        </w:tc>
        <w:tc>
          <w:tcPr>
            <w:tcW w:w="5961" w:type="dxa"/>
          </w:tcPr>
          <w:p w:rsidR="00AA5E86" w:rsidRDefault="008318F5">
            <w:pPr>
              <w:spacing w:after="0"/>
            </w:pPr>
            <w:r>
              <w:rPr>
                <w:rFonts w:ascii="Lato Black"/>
                <w:b/>
              </w:rPr>
              <w:t>Description</w:t>
            </w:r>
          </w:p>
        </w:tc>
      </w:tr>
      <w:tr w:rsidR="00AA5E86">
        <w:tblPrEx>
          <w:tblCellMar>
            <w:top w:w="0" w:type="dxa"/>
            <w:bottom w:w="0" w:type="dxa"/>
          </w:tblCellMar>
        </w:tblPrEx>
        <w:tc>
          <w:tcPr>
            <w:tcW w:w="4017" w:type="dxa"/>
          </w:tcPr>
          <w:p w:rsidR="00AA5E86" w:rsidRDefault="008318F5">
            <w:pPr>
              <w:spacing w:after="0"/>
            </w:pPr>
            <w:r>
              <w:rPr>
                <w:rFonts w:ascii="Lato"/>
              </w:rPr>
              <w:t xml:space="preserve">20 U.S.C. </w:t>
            </w:r>
            <w:r>
              <w:rPr>
                <w:rFonts w:ascii="Lato"/>
              </w:rPr>
              <w:t>§</w:t>
            </w:r>
            <w:r>
              <w:rPr>
                <w:rFonts w:ascii="Lato"/>
              </w:rPr>
              <w:t xml:space="preserve"> 1400-1417</w:t>
            </w:r>
          </w:p>
        </w:tc>
        <w:tc>
          <w:tcPr>
            <w:tcW w:w="5961" w:type="dxa"/>
          </w:tcPr>
          <w:p w:rsidR="00AA5E86" w:rsidRDefault="008318F5">
            <w:hyperlink r:id="rId8" w:docLocation="http://uscode.house.gov/">
              <w:r>
                <w:rPr>
                  <w:rFonts w:ascii="Lato"/>
                  <w:color w:val="0000FF" w:themeColor="hyperlink"/>
                  <w:u w:val="single"/>
                </w:rPr>
                <w:t>Individuals with Disabilities Education Act</w:t>
              </w:r>
            </w:hyperlink>
          </w:p>
        </w:tc>
      </w:tr>
      <w:tr w:rsidR="00AA5E86">
        <w:tblPrEx>
          <w:tblCellMar>
            <w:top w:w="0" w:type="dxa"/>
            <w:bottom w:w="0" w:type="dxa"/>
          </w:tblCellMar>
        </w:tblPrEx>
        <w:tc>
          <w:tcPr>
            <w:tcW w:w="4017" w:type="dxa"/>
          </w:tcPr>
          <w:p w:rsidR="00AA5E86" w:rsidRDefault="008318F5">
            <w:pPr>
              <w:spacing w:after="0"/>
            </w:pPr>
            <w:r>
              <w:rPr>
                <w:rFonts w:ascii="Lato"/>
              </w:rPr>
              <w:t xml:space="preserve">29 U.S.C. </w:t>
            </w:r>
            <w:r>
              <w:rPr>
                <w:rFonts w:ascii="Lato"/>
              </w:rPr>
              <w:t>§</w:t>
            </w:r>
            <w:r>
              <w:rPr>
                <w:rFonts w:ascii="Lato"/>
              </w:rPr>
              <w:t xml:space="preserve"> 794</w:t>
            </w:r>
          </w:p>
        </w:tc>
        <w:tc>
          <w:tcPr>
            <w:tcW w:w="5961" w:type="dxa"/>
          </w:tcPr>
          <w:p w:rsidR="00AA5E86" w:rsidRDefault="008318F5">
            <w:hyperlink r:id="rId9" w:docLocation="http://uscode.house.gov/">
              <w:r>
                <w:rPr>
                  <w:rFonts w:ascii="Lato"/>
                  <w:color w:val="0000FF" w:themeColor="hyperlink"/>
                  <w:u w:val="single"/>
                </w:rPr>
                <w:t>Se</w:t>
              </w:r>
              <w:r>
                <w:rPr>
                  <w:rFonts w:ascii="Lato"/>
                  <w:color w:val="0000FF" w:themeColor="hyperlink"/>
                  <w:u w:val="single"/>
                </w:rPr>
                <w:t>ction 504 of the Rehabilitation Act of 1973</w:t>
              </w:r>
            </w:hyperlink>
          </w:p>
        </w:tc>
      </w:tr>
      <w:tr w:rsidR="00AA5E86">
        <w:tblPrEx>
          <w:tblCellMar>
            <w:top w:w="0" w:type="dxa"/>
            <w:bottom w:w="0" w:type="dxa"/>
          </w:tblCellMar>
        </w:tblPrEx>
        <w:tc>
          <w:tcPr>
            <w:tcW w:w="4017" w:type="dxa"/>
          </w:tcPr>
          <w:p w:rsidR="00AA5E86" w:rsidRDefault="008318F5">
            <w:pPr>
              <w:spacing w:after="0"/>
            </w:pPr>
            <w:r>
              <w:rPr>
                <w:rFonts w:ascii="Lato"/>
              </w:rPr>
              <w:t>34 C.F.R Part 104</w:t>
            </w:r>
          </w:p>
        </w:tc>
        <w:tc>
          <w:tcPr>
            <w:tcW w:w="5961" w:type="dxa"/>
          </w:tcPr>
          <w:p w:rsidR="00AA5E86" w:rsidRDefault="008318F5">
            <w:hyperlink r:id="rId10" w:docLocation="http://www.law.cornell.edu/cfr/text">
              <w:r>
                <w:rPr>
                  <w:rFonts w:ascii="Lato"/>
                  <w:color w:val="0000FF" w:themeColor="hyperlink"/>
                  <w:u w:val="single"/>
                </w:rPr>
                <w:t>Section 504 of the Rehabilitation Act of 1973</w:t>
              </w:r>
            </w:hyperlink>
          </w:p>
        </w:tc>
      </w:tr>
      <w:tr w:rsidR="00AA5E86">
        <w:tblPrEx>
          <w:tblCellMar>
            <w:top w:w="0" w:type="dxa"/>
            <w:bottom w:w="0" w:type="dxa"/>
          </w:tblCellMar>
        </w:tblPrEx>
        <w:tc>
          <w:tcPr>
            <w:tcW w:w="4017" w:type="dxa"/>
          </w:tcPr>
          <w:p w:rsidR="00AA5E86" w:rsidRDefault="008318F5">
            <w:pPr>
              <w:spacing w:after="0"/>
            </w:pPr>
            <w:r>
              <w:rPr>
                <w:rFonts w:ascii="Lato"/>
              </w:rPr>
              <w:t>34 C.F.R Part 300</w:t>
            </w:r>
          </w:p>
        </w:tc>
        <w:tc>
          <w:tcPr>
            <w:tcW w:w="5961" w:type="dxa"/>
          </w:tcPr>
          <w:p w:rsidR="00AA5E86" w:rsidRDefault="008318F5">
            <w:hyperlink r:id="rId11" w:docLocation="http://www.law.cornell.edu/cfr/text">
              <w:r>
                <w:rPr>
                  <w:rFonts w:ascii="Lato"/>
                  <w:color w:val="0000FF" w:themeColor="hyperlink"/>
                  <w:u w:val="single"/>
                </w:rPr>
                <w:t>Individuals with Disabilities Education Act</w:t>
              </w:r>
            </w:hyperlink>
          </w:p>
        </w:tc>
      </w:tr>
      <w:tr w:rsidR="00AA5E86">
        <w:tblPrEx>
          <w:tblCellMar>
            <w:top w:w="0" w:type="dxa"/>
            <w:bottom w:w="0" w:type="dxa"/>
          </w:tblCellMar>
        </w:tblPrEx>
        <w:tc>
          <w:tcPr>
            <w:tcW w:w="4017" w:type="dxa"/>
          </w:tcPr>
          <w:p w:rsidR="00AA5E86" w:rsidRDefault="008318F5">
            <w:pPr>
              <w:spacing w:after="0"/>
            </w:pPr>
            <w:r>
              <w:rPr>
                <w:rFonts w:ascii="Lato"/>
              </w:rPr>
              <w:t xml:space="preserve">42 U.S.C.  </w:t>
            </w:r>
            <w:r>
              <w:rPr>
                <w:rFonts w:ascii="Lato"/>
              </w:rPr>
              <w:t>§§</w:t>
            </w:r>
            <w:r>
              <w:rPr>
                <w:rFonts w:ascii="Lato"/>
              </w:rPr>
              <w:t xml:space="preserve"> 12101-12213</w:t>
            </w:r>
          </w:p>
        </w:tc>
        <w:tc>
          <w:tcPr>
            <w:tcW w:w="5961" w:type="dxa"/>
          </w:tcPr>
          <w:p w:rsidR="00AA5E86" w:rsidRDefault="008318F5">
            <w:hyperlink r:id="rId12" w:docLocation="http://uscode.house.gov/">
              <w:r>
                <w:rPr>
                  <w:rFonts w:ascii="Lato"/>
                  <w:color w:val="0000FF" w:themeColor="hyperlink"/>
                  <w:u w:val="single"/>
                </w:rPr>
                <w:t xml:space="preserve">Americans with </w:t>
              </w:r>
              <w:r>
                <w:rPr>
                  <w:rFonts w:ascii="Lato"/>
                  <w:color w:val="0000FF" w:themeColor="hyperlink"/>
                  <w:u w:val="single"/>
                </w:rPr>
                <w:t>Disabilities Act</w:t>
              </w:r>
            </w:hyperlink>
          </w:p>
        </w:tc>
      </w:tr>
    </w:tbl>
    <w:p w:rsidR="00000000" w:rsidRDefault="008318F5">
      <w:pPr>
        <w:shd w:val="clear" w:color="auto" w:fill="F9F9F9"/>
        <w:spacing w:line="480" w:lineRule="auto"/>
        <w:divId w:val="417599926"/>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AA5E86">
        <w:tblPrEx>
          <w:tblCellMar>
            <w:top w:w="0" w:type="dxa"/>
            <w:bottom w:w="0" w:type="dxa"/>
          </w:tblCellMar>
        </w:tblPrEx>
        <w:tc>
          <w:tcPr>
            <w:tcW w:w="4017" w:type="dxa"/>
          </w:tcPr>
          <w:p w:rsidR="00AA5E86" w:rsidRDefault="008318F5">
            <w:pPr>
              <w:spacing w:after="0"/>
            </w:pPr>
            <w:r>
              <w:rPr>
                <w:rFonts w:ascii="Lato Black"/>
                <w:b/>
              </w:rPr>
              <w:t>Code</w:t>
            </w:r>
          </w:p>
        </w:tc>
        <w:tc>
          <w:tcPr>
            <w:tcW w:w="5961" w:type="dxa"/>
          </w:tcPr>
          <w:p w:rsidR="00AA5E86" w:rsidRDefault="008318F5">
            <w:pPr>
              <w:spacing w:after="0"/>
            </w:pPr>
            <w:r>
              <w:rPr>
                <w:rFonts w:ascii="Lato Black"/>
                <w:b/>
              </w:rPr>
              <w:t>Description</w:t>
            </w:r>
          </w:p>
        </w:tc>
      </w:tr>
      <w:tr w:rsidR="00AA5E86">
        <w:tblPrEx>
          <w:tblCellMar>
            <w:top w:w="0" w:type="dxa"/>
            <w:bottom w:w="0" w:type="dxa"/>
          </w:tblCellMar>
        </w:tblPrEx>
        <w:tc>
          <w:tcPr>
            <w:tcW w:w="4017" w:type="dxa"/>
          </w:tcPr>
          <w:p w:rsidR="00AA5E86" w:rsidRDefault="008318F5">
            <w:pPr>
              <w:spacing w:after="0"/>
            </w:pPr>
            <w:r>
              <w:rPr>
                <w:rFonts w:ascii="Lato"/>
              </w:rPr>
              <w:t>AC</w:t>
            </w:r>
          </w:p>
        </w:tc>
        <w:tc>
          <w:tcPr>
            <w:tcW w:w="5961" w:type="dxa"/>
          </w:tcPr>
          <w:p w:rsidR="00AA5E86" w:rsidRDefault="008318F5">
            <w:hyperlink r:id="rId13" w:docLocation="https://simbli.eboardsolutions.com/Policy/ViewPolicy.aspx?S=36031111&amp;revid=jJbOXTUslshR52kdUsNlplusMAgw==">
              <w:r>
                <w:rPr>
                  <w:rFonts w:ascii="Lato"/>
                  <w:color w:val="0000FF" w:themeColor="hyperlink"/>
                  <w:u w:val="single"/>
                </w:rPr>
                <w:t>PROHIBITION AGAINST ILLEGAL DISCRIMINATION, HARASSMENT AND RETALIATION</w:t>
              </w:r>
            </w:hyperlink>
          </w:p>
        </w:tc>
      </w:tr>
      <w:tr w:rsidR="00AA5E86">
        <w:tblPrEx>
          <w:tblCellMar>
            <w:top w:w="0" w:type="dxa"/>
            <w:bottom w:w="0" w:type="dxa"/>
          </w:tblCellMar>
        </w:tblPrEx>
        <w:tc>
          <w:tcPr>
            <w:tcW w:w="4017" w:type="dxa"/>
          </w:tcPr>
          <w:p w:rsidR="00AA5E86" w:rsidRDefault="008318F5">
            <w:pPr>
              <w:spacing w:after="0"/>
            </w:pPr>
            <w:r>
              <w:rPr>
                <w:rFonts w:ascii="Lato"/>
              </w:rPr>
              <w:t>BDC</w:t>
            </w:r>
          </w:p>
        </w:tc>
        <w:tc>
          <w:tcPr>
            <w:tcW w:w="5961" w:type="dxa"/>
          </w:tcPr>
          <w:p w:rsidR="00AA5E86" w:rsidRDefault="008318F5">
            <w:hyperlink r:id="rId14" w:docLocation="https://simbli.eboardsolutions.com/Policy/ViewPolicy.aspx?S=36031111&amp;revid=vUplus4wcpWpUIpmxZmplusm2YxA==">
              <w:r>
                <w:rPr>
                  <w:rFonts w:ascii="Lato"/>
                  <w:color w:val="0000FF" w:themeColor="hyperlink"/>
                  <w:u w:val="single"/>
                </w:rPr>
                <w:t>CLOSED MEETINGS, RECORDS AND VOTES</w:t>
              </w:r>
            </w:hyperlink>
          </w:p>
        </w:tc>
      </w:tr>
      <w:tr w:rsidR="00AA5E86">
        <w:tblPrEx>
          <w:tblCellMar>
            <w:top w:w="0" w:type="dxa"/>
            <w:bottom w:w="0" w:type="dxa"/>
          </w:tblCellMar>
        </w:tblPrEx>
        <w:tc>
          <w:tcPr>
            <w:tcW w:w="4017" w:type="dxa"/>
          </w:tcPr>
          <w:p w:rsidR="00AA5E86" w:rsidRDefault="008318F5">
            <w:pPr>
              <w:spacing w:after="0"/>
            </w:pPr>
            <w:r>
              <w:rPr>
                <w:rFonts w:ascii="Lato"/>
              </w:rPr>
              <w:t>BDDH-1</w:t>
            </w:r>
          </w:p>
        </w:tc>
        <w:tc>
          <w:tcPr>
            <w:tcW w:w="5961" w:type="dxa"/>
          </w:tcPr>
          <w:p w:rsidR="00AA5E86" w:rsidRDefault="008318F5">
            <w:hyperlink r:id="rId15" w:docLocation="https://simbli.eboardsolutions.com/Policy/ViewPolicy.aspx?S=36031111&amp;revid=sSzkt9SFQWpt3plus6l7szhCg==">
              <w:r>
                <w:rPr>
                  <w:rFonts w:ascii="Lato"/>
                  <w:color w:val="0000FF" w:themeColor="hyperlink"/>
                  <w:u w:val="single"/>
                </w:rPr>
                <w:t>PUBLIC PARTICIPATION AT BOARD MEETINGS</w:t>
              </w:r>
            </w:hyperlink>
          </w:p>
        </w:tc>
      </w:tr>
      <w:tr w:rsidR="00AA5E86">
        <w:tblPrEx>
          <w:tblCellMar>
            <w:top w:w="0" w:type="dxa"/>
            <w:bottom w:w="0" w:type="dxa"/>
          </w:tblCellMar>
        </w:tblPrEx>
        <w:tc>
          <w:tcPr>
            <w:tcW w:w="4017" w:type="dxa"/>
          </w:tcPr>
          <w:p w:rsidR="00AA5E86" w:rsidRDefault="008318F5">
            <w:pPr>
              <w:spacing w:after="0"/>
            </w:pPr>
            <w:r>
              <w:rPr>
                <w:rFonts w:ascii="Lato"/>
              </w:rPr>
              <w:t>BDDH-2</w:t>
            </w:r>
          </w:p>
        </w:tc>
        <w:tc>
          <w:tcPr>
            <w:tcW w:w="5961" w:type="dxa"/>
          </w:tcPr>
          <w:p w:rsidR="00AA5E86" w:rsidRDefault="008318F5">
            <w:hyperlink r:id="rId16" w:docLocation="https://simbli.eboardsolutions.com/Policy/ViewPolicy.aspx?S=36031111&amp;revid=bKK824VbZfRlNuxo9MZWhA==">
              <w:r>
                <w:rPr>
                  <w:rFonts w:ascii="Lato"/>
                  <w:color w:val="0000FF" w:themeColor="hyperlink"/>
                  <w:u w:val="single"/>
                </w:rPr>
                <w:t>PUBLIC PARTICIPATION AT BOARD MEET</w:t>
              </w:r>
              <w:r>
                <w:rPr>
                  <w:rFonts w:ascii="Lato"/>
                  <w:color w:val="0000FF" w:themeColor="hyperlink"/>
                  <w:u w:val="single"/>
                </w:rPr>
                <w:t>INGS</w:t>
              </w:r>
            </w:hyperlink>
          </w:p>
        </w:tc>
      </w:tr>
      <w:tr w:rsidR="00AA5E86">
        <w:tblPrEx>
          <w:tblCellMar>
            <w:top w:w="0" w:type="dxa"/>
            <w:bottom w:w="0" w:type="dxa"/>
          </w:tblCellMar>
        </w:tblPrEx>
        <w:tc>
          <w:tcPr>
            <w:tcW w:w="4017" w:type="dxa"/>
          </w:tcPr>
          <w:p w:rsidR="00AA5E86" w:rsidRDefault="008318F5">
            <w:pPr>
              <w:spacing w:after="0"/>
            </w:pPr>
            <w:r>
              <w:rPr>
                <w:rFonts w:ascii="Lato"/>
              </w:rPr>
              <w:t>JEA</w:t>
            </w:r>
          </w:p>
        </w:tc>
        <w:tc>
          <w:tcPr>
            <w:tcW w:w="5961" w:type="dxa"/>
          </w:tcPr>
          <w:p w:rsidR="00AA5E86" w:rsidRDefault="008318F5">
            <w:hyperlink r:id="rId17" w:docLocation="https://simbli.eboardsolutions.com/Policy/ViewPolicy.aspx?S=36031111&amp;revid=xZpPsHDJOBIAEtJe45P4bA==">
              <w:r>
                <w:rPr>
                  <w:rFonts w:ascii="Lato"/>
                  <w:color w:val="0000FF" w:themeColor="hyperlink"/>
                  <w:u w:val="single"/>
                </w:rPr>
                <w:t>COMPULSORY AND PART-TI</w:t>
              </w:r>
              <w:r>
                <w:rPr>
                  <w:rFonts w:ascii="Lato"/>
                  <w:color w:val="0000FF" w:themeColor="hyperlink"/>
                  <w:u w:val="single"/>
                </w:rPr>
                <w:t>ME ATTENDANCE</w:t>
              </w:r>
            </w:hyperlink>
          </w:p>
        </w:tc>
      </w:tr>
      <w:tr w:rsidR="00AA5E86">
        <w:tblPrEx>
          <w:tblCellMar>
            <w:top w:w="0" w:type="dxa"/>
            <w:bottom w:w="0" w:type="dxa"/>
          </w:tblCellMar>
        </w:tblPrEx>
        <w:tc>
          <w:tcPr>
            <w:tcW w:w="4017" w:type="dxa"/>
          </w:tcPr>
          <w:p w:rsidR="00AA5E86" w:rsidRDefault="008318F5">
            <w:pPr>
              <w:spacing w:after="0"/>
            </w:pPr>
            <w:r>
              <w:rPr>
                <w:rFonts w:ascii="Lato"/>
              </w:rPr>
              <w:t>JEA-AP(1)</w:t>
            </w:r>
          </w:p>
        </w:tc>
        <w:tc>
          <w:tcPr>
            <w:tcW w:w="5961" w:type="dxa"/>
          </w:tcPr>
          <w:p w:rsidR="00AA5E86" w:rsidRDefault="008318F5">
            <w:hyperlink r:id="rId18" w:docLocation="https://simbli.eboardsolutions.com/Policy/ViewPolicy.aspx?S=36031111&amp;revid=KoeJxgViyj4v6IA4plusyjHIw==">
              <w:r>
                <w:rPr>
                  <w:rFonts w:ascii="Lato"/>
                  <w:color w:val="0000FF" w:themeColor="hyperlink"/>
                  <w:u w:val="single"/>
                </w:rPr>
                <w:t>C</w:t>
              </w:r>
              <w:r>
                <w:rPr>
                  <w:rFonts w:ascii="Lato"/>
                  <w:color w:val="0000FF" w:themeColor="hyperlink"/>
                  <w:u w:val="single"/>
                </w:rPr>
                <w:t>OMPULSORY AND PART-TIME ATTENDANCE - (Part-Time Attendance)</w:t>
              </w:r>
            </w:hyperlink>
          </w:p>
        </w:tc>
      </w:tr>
      <w:tr w:rsidR="00AA5E86">
        <w:tblPrEx>
          <w:tblCellMar>
            <w:top w:w="0" w:type="dxa"/>
            <w:bottom w:w="0" w:type="dxa"/>
          </w:tblCellMar>
        </w:tblPrEx>
        <w:tc>
          <w:tcPr>
            <w:tcW w:w="4017" w:type="dxa"/>
          </w:tcPr>
          <w:p w:rsidR="00AA5E86" w:rsidRDefault="008318F5">
            <w:pPr>
              <w:spacing w:after="0"/>
            </w:pPr>
            <w:r>
              <w:rPr>
                <w:rFonts w:ascii="Lato"/>
              </w:rPr>
              <w:t>JECC-1</w:t>
            </w:r>
          </w:p>
        </w:tc>
        <w:tc>
          <w:tcPr>
            <w:tcW w:w="5961" w:type="dxa"/>
          </w:tcPr>
          <w:p w:rsidR="00AA5E86" w:rsidRDefault="008318F5">
            <w:hyperlink r:id="rId19" w:docLocation="https://simbli.eboardsolutions.com/Policy/ViewPolicy.aspx?S=36031111&amp;revid=XzLDtW7GfpSigWuKOqr91Q==">
              <w:r>
                <w:rPr>
                  <w:rFonts w:ascii="Lato"/>
                  <w:color w:val="0000FF" w:themeColor="hyperlink"/>
                  <w:u w:val="single"/>
                </w:rPr>
                <w:t>ASSIGNMENT OF STUDENTS TO GRADE LEVELS/CLASSES</w:t>
              </w:r>
            </w:hyperlink>
          </w:p>
        </w:tc>
      </w:tr>
      <w:tr w:rsidR="00AA5E86">
        <w:tblPrEx>
          <w:tblCellMar>
            <w:top w:w="0" w:type="dxa"/>
            <w:bottom w:w="0" w:type="dxa"/>
          </w:tblCellMar>
        </w:tblPrEx>
        <w:tc>
          <w:tcPr>
            <w:tcW w:w="4017" w:type="dxa"/>
          </w:tcPr>
          <w:p w:rsidR="00AA5E86" w:rsidRDefault="008318F5">
            <w:pPr>
              <w:spacing w:after="0"/>
            </w:pPr>
            <w:r>
              <w:rPr>
                <w:rFonts w:ascii="Lato"/>
              </w:rPr>
              <w:t>JECC-2</w:t>
            </w:r>
          </w:p>
        </w:tc>
        <w:tc>
          <w:tcPr>
            <w:tcW w:w="5961" w:type="dxa"/>
          </w:tcPr>
          <w:p w:rsidR="00AA5E86" w:rsidRDefault="008318F5">
            <w:hyperlink r:id="rId20" w:docLocation="https://simbli.eboardsolutions.com/Policy/ViewPolicy.aspx?S=36031111&amp;revid=1JDbvv5edT89NI2cVWJaaA==">
              <w:r>
                <w:rPr>
                  <w:rFonts w:ascii="Lato"/>
                  <w:color w:val="0000FF" w:themeColor="hyperlink"/>
                  <w:u w:val="single"/>
                </w:rPr>
                <w:t>ASSIGNMENT OF STUDENTS TO GRADE LEVELS/CLASSES</w:t>
              </w:r>
            </w:hyperlink>
          </w:p>
        </w:tc>
      </w:tr>
      <w:tr w:rsidR="00AA5E86">
        <w:tblPrEx>
          <w:tblCellMar>
            <w:top w:w="0" w:type="dxa"/>
            <w:bottom w:w="0" w:type="dxa"/>
          </w:tblCellMar>
        </w:tblPrEx>
        <w:tc>
          <w:tcPr>
            <w:tcW w:w="4017" w:type="dxa"/>
          </w:tcPr>
          <w:p w:rsidR="00AA5E86" w:rsidRDefault="008318F5">
            <w:pPr>
              <w:spacing w:after="0"/>
            </w:pPr>
            <w:r>
              <w:rPr>
                <w:rFonts w:ascii="Lato"/>
              </w:rPr>
              <w:t>JFCF</w:t>
            </w:r>
          </w:p>
        </w:tc>
        <w:tc>
          <w:tcPr>
            <w:tcW w:w="5961" w:type="dxa"/>
          </w:tcPr>
          <w:p w:rsidR="00AA5E86" w:rsidRDefault="008318F5">
            <w:hyperlink r:id="rId21" w:docLocation="https://simbli.eboardsolutions.com/Policy/ViewPolicy.aspx?S=36031111&amp;revid=tW1xbz4MTnJb0bwkdlSZ0Q==">
              <w:r>
                <w:rPr>
                  <w:rFonts w:ascii="Lato"/>
                  <w:color w:val="0000FF" w:themeColor="hyperlink"/>
                  <w:u w:val="single"/>
                </w:rPr>
                <w:t>BULLYING</w:t>
              </w:r>
            </w:hyperlink>
          </w:p>
        </w:tc>
      </w:tr>
      <w:tr w:rsidR="00AA5E86">
        <w:tblPrEx>
          <w:tblCellMar>
            <w:top w:w="0" w:type="dxa"/>
            <w:bottom w:w="0" w:type="dxa"/>
          </w:tblCellMar>
        </w:tblPrEx>
        <w:tc>
          <w:tcPr>
            <w:tcW w:w="4017" w:type="dxa"/>
          </w:tcPr>
          <w:p w:rsidR="00AA5E86" w:rsidRDefault="008318F5">
            <w:pPr>
              <w:spacing w:after="0"/>
            </w:pPr>
            <w:r>
              <w:rPr>
                <w:rFonts w:ascii="Lato"/>
              </w:rPr>
              <w:t>JG-R1</w:t>
            </w:r>
          </w:p>
        </w:tc>
        <w:tc>
          <w:tcPr>
            <w:tcW w:w="5961" w:type="dxa"/>
          </w:tcPr>
          <w:p w:rsidR="00AA5E86" w:rsidRDefault="008318F5">
            <w:hyperlink r:id="rId22" w:docLocation="https://simbli.eboardsolutions.com/Policy/ViewPolicy.aspx?S=36031111&amp;revid=ueWyLnNxNl2hMO6szHZMIA==">
              <w:r>
                <w:rPr>
                  <w:rFonts w:ascii="Lato"/>
                  <w:color w:val="0000FF" w:themeColor="hyperlink"/>
                  <w:u w:val="single"/>
                </w:rPr>
                <w:t>STUDENT DISCIPLINE</w:t>
              </w:r>
            </w:hyperlink>
          </w:p>
        </w:tc>
      </w:tr>
      <w:tr w:rsidR="00AA5E86">
        <w:tblPrEx>
          <w:tblCellMar>
            <w:top w:w="0" w:type="dxa"/>
            <w:bottom w:w="0" w:type="dxa"/>
          </w:tblCellMar>
        </w:tblPrEx>
        <w:tc>
          <w:tcPr>
            <w:tcW w:w="4017" w:type="dxa"/>
          </w:tcPr>
          <w:p w:rsidR="00AA5E86" w:rsidRDefault="008318F5">
            <w:pPr>
              <w:spacing w:after="0"/>
            </w:pPr>
            <w:r>
              <w:rPr>
                <w:rFonts w:ascii="Lato"/>
              </w:rPr>
              <w:t>JHD</w:t>
            </w:r>
          </w:p>
        </w:tc>
        <w:tc>
          <w:tcPr>
            <w:tcW w:w="5961" w:type="dxa"/>
          </w:tcPr>
          <w:p w:rsidR="00AA5E86" w:rsidRDefault="008318F5">
            <w:hyperlink r:id="rId23" w:docLocation="https://simbli.eboardsolutions.com/Policy/ViewPolicy.aspx?S=36031111&amp;revid=W09XLkS5Hdk0pDVMImJslshJw==">
              <w:r>
                <w:rPr>
                  <w:rFonts w:ascii="Lato"/>
                  <w:color w:val="0000FF" w:themeColor="hyperlink"/>
                  <w:u w:val="single"/>
                </w:rPr>
                <w:t>STUDENT COUNSELING PROGRAM</w:t>
              </w:r>
            </w:hyperlink>
          </w:p>
        </w:tc>
      </w:tr>
    </w:tbl>
    <w:p w:rsidR="008318F5" w:rsidRDefault="008318F5"/>
    <w:sectPr w:rsidR="008318F5">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E86"/>
    <w:rsid w:val="001310E1"/>
    <w:rsid w:val="008318F5"/>
    <w:rsid w:val="00AA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595">
      <w:bodyDiv w:val="1"/>
      <w:marLeft w:val="0"/>
      <w:marRight w:val="0"/>
      <w:marTop w:val="0"/>
      <w:marBottom w:val="0"/>
      <w:divBdr>
        <w:top w:val="none" w:sz="0" w:space="0" w:color="auto"/>
        <w:left w:val="none" w:sz="0" w:space="0" w:color="auto"/>
        <w:bottom w:val="none" w:sz="0" w:space="0" w:color="auto"/>
        <w:right w:val="none" w:sz="0" w:space="0" w:color="auto"/>
      </w:divBdr>
    </w:div>
    <w:div w:id="710307138">
      <w:bodyDiv w:val="1"/>
      <w:marLeft w:val="0"/>
      <w:marRight w:val="0"/>
      <w:marTop w:val="0"/>
      <w:marBottom w:val="0"/>
      <w:divBdr>
        <w:top w:val="none" w:sz="0" w:space="0" w:color="auto"/>
        <w:left w:val="none" w:sz="0" w:space="0" w:color="auto"/>
        <w:bottom w:val="none" w:sz="0" w:space="0" w:color="auto"/>
        <w:right w:val="none" w:sz="0" w:space="0" w:color="auto"/>
      </w:divBdr>
      <w:divsChild>
        <w:div w:id="470368325">
          <w:marLeft w:val="0"/>
          <w:marRight w:val="0"/>
          <w:marTop w:val="0"/>
          <w:marBottom w:val="0"/>
          <w:divBdr>
            <w:top w:val="none" w:sz="0" w:space="0" w:color="auto"/>
            <w:left w:val="none" w:sz="0" w:space="0" w:color="auto"/>
            <w:bottom w:val="none" w:sz="0" w:space="0" w:color="auto"/>
            <w:right w:val="none" w:sz="0" w:space="0" w:color="auto"/>
          </w:divBdr>
          <w:divsChild>
            <w:div w:id="1939751608">
              <w:marLeft w:val="0"/>
              <w:marRight w:val="0"/>
              <w:marTop w:val="0"/>
              <w:marBottom w:val="0"/>
              <w:divBdr>
                <w:top w:val="none" w:sz="0" w:space="0" w:color="auto"/>
                <w:left w:val="none" w:sz="0" w:space="0" w:color="auto"/>
                <w:bottom w:val="none" w:sz="0" w:space="0" w:color="auto"/>
                <w:right w:val="none" w:sz="0" w:space="0" w:color="auto"/>
              </w:divBdr>
              <w:divsChild>
                <w:div w:id="7492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1153">
      <w:bodyDiv w:val="1"/>
      <w:marLeft w:val="0"/>
      <w:marRight w:val="0"/>
      <w:marTop w:val="0"/>
      <w:marBottom w:val="0"/>
      <w:divBdr>
        <w:top w:val="none" w:sz="0" w:space="0" w:color="auto"/>
        <w:left w:val="none" w:sz="0" w:space="0" w:color="auto"/>
        <w:bottom w:val="none" w:sz="0" w:space="0" w:color="auto"/>
        <w:right w:val="none" w:sz="0" w:space="0" w:color="auto"/>
      </w:divBdr>
      <w:divsChild>
        <w:div w:id="417599926">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yperlink" Target="https://simbli.eboardsolutions.com/Policy/ViewPolicy.aspx?S=36031111&amp;revid=jJbOXTUslshR52kdUsNlplusMAgw==" TargetMode="External"/><Relationship Id="rId18" Type="http://schemas.openxmlformats.org/officeDocument/2006/relationships/hyperlink" Target="https://simbli.eboardsolutions.com/Policy/ViewPolicy.aspx?S=36031111&amp;revid=KoeJxgViyj4v6IA4plusyjHIw==" TargetMode="External"/><Relationship Id="rId3" Type="http://schemas.openxmlformats.org/officeDocument/2006/relationships/settings" Target="settings.xml"/><Relationship Id="rId21" Type="http://schemas.openxmlformats.org/officeDocument/2006/relationships/hyperlink" Target="https://simbli.eboardsolutions.com/Policy/ViewPolicy.aspx?S=36031111&amp;revid=tW1xbz4MTnJb0bwkdlSZ0Q==" TargetMode="External"/><Relationship Id="rId7" Type="http://schemas.openxmlformats.org/officeDocument/2006/relationships/hyperlink" Target="http://www.sos.mo.gov/adrules/csr/csr.asp" TargetMode="External"/><Relationship Id="rId12" Type="http://schemas.openxmlformats.org/officeDocument/2006/relationships/hyperlink" Target="http://uscode.house.gov/" TargetMode="External"/><Relationship Id="rId17" Type="http://schemas.openxmlformats.org/officeDocument/2006/relationships/hyperlink" Target="https://simbli.eboardsolutions.com/Policy/ViewPolicy.aspx?S=36031111&amp;revid=xZpPsHDJOBIAEtJe45P4bA=="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imbli.eboardsolutions.com/Policy/ViewPolicy.aspx?S=36031111&amp;revid=bKK824VbZfRlNuxo9MZWhA==" TargetMode="External"/><Relationship Id="rId20" Type="http://schemas.openxmlformats.org/officeDocument/2006/relationships/hyperlink" Target="https://simbli.eboardsolutions.com/Policy/ViewPolicy.aspx?S=36031111&amp;revid=1JDbvv5edT89NI2cVWJaaA==" TargetMode="External"/><Relationship Id="rId1" Type="http://schemas.openxmlformats.org/officeDocument/2006/relationships/styles" Target="styles.xml"/><Relationship Id="rId6" Type="http://schemas.openxmlformats.org/officeDocument/2006/relationships/hyperlink" Target="https://revisor.mo.gov/main/Home.aspx" TargetMode="External"/><Relationship Id="rId11" Type="http://schemas.openxmlformats.org/officeDocument/2006/relationships/hyperlink" Target="http://www.law.cornell.edu/cfr/text" TargetMode="External"/><Relationship Id="rId24" Type="http://schemas.openxmlformats.org/officeDocument/2006/relationships/fontTable" Target="fontTable.xml"/><Relationship Id="rId5" Type="http://schemas.openxmlformats.org/officeDocument/2006/relationships/hyperlink" Target="https://revisor.mo.gov/main/Home.aspx" TargetMode="External"/><Relationship Id="rId15" Type="http://schemas.openxmlformats.org/officeDocument/2006/relationships/hyperlink" Target="https://simbli.eboardsolutions.com/Policy/ViewPolicy.aspx?S=36031111&amp;revid=sSzkt9SFQWpt3plus6l7szhCg==" TargetMode="External"/><Relationship Id="rId23" Type="http://schemas.openxmlformats.org/officeDocument/2006/relationships/hyperlink" Target="https://simbli.eboardsolutions.com/Policy/ViewPolicy.aspx?S=36031111&amp;revid=W09XLkS5Hdk0pDVMImJslshJw==" TargetMode="External"/><Relationship Id="rId10" Type="http://schemas.openxmlformats.org/officeDocument/2006/relationships/hyperlink" Target="http://www.law.cornell.edu/cfr/text" TargetMode="External"/><Relationship Id="rId19" Type="http://schemas.openxmlformats.org/officeDocument/2006/relationships/hyperlink" Target="https://simbli.eboardsolutions.com/Policy/ViewPolicy.aspx?S=36031111&amp;revid=XzLDtW7GfpSigWuKOqr91Q==" TargetMode="External"/><Relationship Id="rId4" Type="http://schemas.openxmlformats.org/officeDocument/2006/relationships/webSettings" Target="webSettings.xml"/><Relationship Id="rId9" Type="http://schemas.openxmlformats.org/officeDocument/2006/relationships/hyperlink" Target="http://uscode.house.gov/" TargetMode="External"/><Relationship Id="rId14" Type="http://schemas.openxmlformats.org/officeDocument/2006/relationships/hyperlink" Target="https://simbli.eboardsolutions.com/Policy/ViewPolicy.aspx?S=36031111&amp;revid=vUplus4wcpWpUIpmxZmplusm2YxA==" TargetMode="External"/><Relationship Id="rId22" Type="http://schemas.openxmlformats.org/officeDocument/2006/relationships/hyperlink" Target="https://simbli.eboardsolutions.com/Policy/ViewPolicy.aspx?S=36031111&amp;revid=ueWyLnNxNl2hMO6szHZ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2023-03-07T16:59:00Z</dcterms:created>
  <dcterms:modified xsi:type="dcterms:W3CDTF">2023-03-07T16:59:00Z</dcterms:modified>
</cp:coreProperties>
</file>